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731"/>
      </w:tblGrid>
      <w:tr w:rsidR="00E85B67" w:rsidRPr="00E85B67" w:rsidTr="00E85B67">
        <w:trPr>
          <w:tblCellSpacing w:w="15" w:type="dxa"/>
          <w:jc w:val="center"/>
        </w:trPr>
        <w:tc>
          <w:tcPr>
            <w:tcW w:w="0" w:type="auto"/>
            <w:vAlign w:val="center"/>
            <w:hideMark/>
          </w:tcPr>
          <w:p w:rsidR="00E85B67" w:rsidRPr="00E85B67" w:rsidRDefault="00E85B67" w:rsidP="00E85B67">
            <w:pPr>
              <w:widowControl/>
              <w:jc w:val="center"/>
              <w:rPr>
                <w:rFonts w:ascii="宋体" w:eastAsia="宋体" w:hAnsi="宋体" w:cs="宋体"/>
                <w:kern w:val="0"/>
                <w:sz w:val="17"/>
                <w:szCs w:val="17"/>
              </w:rPr>
            </w:pPr>
            <w:r w:rsidRPr="00E85B67">
              <w:rPr>
                <w:rFonts w:ascii="Tahoma" w:eastAsia="宋体" w:hAnsi="Tahoma" w:cs="Tahoma"/>
                <w:color w:val="333333"/>
                <w:kern w:val="0"/>
                <w:sz w:val="30"/>
                <w:szCs w:val="30"/>
              </w:rPr>
              <w:t>学校就</w:t>
            </w:r>
            <w:r w:rsidRPr="00E85B67">
              <w:rPr>
                <w:rFonts w:ascii="Tahoma" w:eastAsia="宋体" w:hAnsi="Tahoma" w:cs="Tahoma"/>
                <w:color w:val="333333"/>
                <w:kern w:val="0"/>
                <w:sz w:val="30"/>
                <w:szCs w:val="30"/>
              </w:rPr>
              <w:t>“</w:t>
            </w:r>
            <w:r w:rsidRPr="00E85B67">
              <w:rPr>
                <w:rFonts w:ascii="Tahoma" w:eastAsia="宋体" w:hAnsi="Tahoma" w:cs="Tahoma"/>
                <w:color w:val="333333"/>
                <w:kern w:val="0"/>
                <w:sz w:val="30"/>
                <w:szCs w:val="30"/>
              </w:rPr>
              <w:t>十三五</w:t>
            </w:r>
            <w:r w:rsidRPr="00E85B67">
              <w:rPr>
                <w:rFonts w:ascii="Tahoma" w:eastAsia="宋体" w:hAnsi="Tahoma" w:cs="Tahoma"/>
                <w:color w:val="333333"/>
                <w:kern w:val="0"/>
                <w:sz w:val="30"/>
                <w:szCs w:val="30"/>
              </w:rPr>
              <w:t>”</w:t>
            </w:r>
            <w:r w:rsidRPr="00E85B67">
              <w:rPr>
                <w:rFonts w:ascii="Tahoma" w:eastAsia="宋体" w:hAnsi="Tahoma" w:cs="Tahoma"/>
                <w:color w:val="333333"/>
                <w:kern w:val="0"/>
                <w:sz w:val="30"/>
                <w:szCs w:val="30"/>
              </w:rPr>
              <w:t>发展规划听取党外人士意见</w:t>
            </w:r>
          </w:p>
        </w:tc>
      </w:tr>
      <w:tr w:rsidR="00E85B67" w:rsidRPr="00E85B67" w:rsidTr="00E85B67">
        <w:trPr>
          <w:tblCellSpacing w:w="15" w:type="dxa"/>
          <w:jc w:val="center"/>
        </w:trPr>
        <w:tc>
          <w:tcPr>
            <w:tcW w:w="0" w:type="auto"/>
            <w:vAlign w:val="center"/>
            <w:hideMark/>
          </w:tcPr>
          <w:p w:rsidR="00E85B67" w:rsidRPr="00E85B67" w:rsidRDefault="00E85B67" w:rsidP="00E85B67">
            <w:pPr>
              <w:widowControl/>
              <w:jc w:val="left"/>
              <w:rPr>
                <w:rFonts w:ascii="宋体" w:eastAsia="宋体" w:hAnsi="宋体" w:cs="宋体"/>
                <w:kern w:val="0"/>
                <w:sz w:val="17"/>
                <w:szCs w:val="17"/>
              </w:rPr>
            </w:pPr>
            <w:r w:rsidRPr="00E85B67">
              <w:rPr>
                <w:rFonts w:ascii="宋体" w:eastAsia="宋体" w:hAnsi="宋体" w:cs="宋体"/>
                <w:kern w:val="0"/>
                <w:sz w:val="17"/>
                <w:szCs w:val="17"/>
              </w:rPr>
              <w:pict>
                <v:rect id="_x0000_i1025" style="width:0;height:1pt" o:hrstd="t" o:hrnoshade="t" o:hr="t" fillcolor="#696969" stroked="f"/>
              </w:pict>
            </w:r>
          </w:p>
        </w:tc>
      </w:tr>
      <w:tr w:rsidR="00E85B67" w:rsidRPr="00E85B67" w:rsidTr="00E85B67">
        <w:trPr>
          <w:tblCellSpacing w:w="15" w:type="dxa"/>
          <w:jc w:val="center"/>
        </w:trPr>
        <w:tc>
          <w:tcPr>
            <w:tcW w:w="0" w:type="auto"/>
            <w:vAlign w:val="center"/>
            <w:hideMark/>
          </w:tcPr>
          <w:p w:rsidR="00E85B67" w:rsidRPr="00E85B67" w:rsidRDefault="00E85B67" w:rsidP="00E85B67">
            <w:pPr>
              <w:widowControl/>
              <w:jc w:val="center"/>
              <w:rPr>
                <w:rFonts w:ascii="宋体" w:eastAsia="宋体" w:hAnsi="宋体" w:cs="宋体"/>
                <w:kern w:val="0"/>
                <w:sz w:val="17"/>
                <w:szCs w:val="17"/>
              </w:rPr>
            </w:pPr>
            <w:r w:rsidRPr="00E85B67">
              <w:rPr>
                <w:rFonts w:ascii="Tahoma" w:eastAsia="宋体" w:hAnsi="Tahoma" w:cs="Tahoma"/>
                <w:b/>
                <w:bCs/>
                <w:kern w:val="0"/>
                <w:sz w:val="17"/>
                <w:szCs w:val="17"/>
              </w:rPr>
              <w:t>发布日期</w:t>
            </w:r>
            <w:r w:rsidRPr="00E85B67">
              <w:rPr>
                <w:rFonts w:ascii="Tahoma" w:eastAsia="宋体" w:hAnsi="Tahoma" w:cs="Tahoma"/>
                <w:b/>
                <w:bCs/>
                <w:kern w:val="0"/>
                <w:sz w:val="17"/>
                <w:szCs w:val="17"/>
              </w:rPr>
              <w:t>:</w:t>
            </w:r>
            <w:r w:rsidRPr="00E85B67">
              <w:rPr>
                <w:rFonts w:ascii="宋体" w:eastAsia="宋体" w:hAnsi="宋体" w:cs="宋体"/>
                <w:kern w:val="0"/>
                <w:sz w:val="17"/>
                <w:szCs w:val="17"/>
              </w:rPr>
              <w:t xml:space="preserve"> 2015/10/26  </w:t>
            </w:r>
            <w:r w:rsidRPr="00E85B67">
              <w:rPr>
                <w:rFonts w:ascii="Tahoma" w:eastAsia="宋体" w:hAnsi="Tahoma" w:cs="Tahoma"/>
                <w:b/>
                <w:bCs/>
                <w:kern w:val="0"/>
                <w:sz w:val="17"/>
                <w:szCs w:val="17"/>
              </w:rPr>
              <w:t>作者</w:t>
            </w:r>
            <w:r w:rsidRPr="00E85B67">
              <w:rPr>
                <w:rFonts w:ascii="Tahoma" w:eastAsia="宋体" w:hAnsi="Tahoma" w:cs="Tahoma"/>
                <w:b/>
                <w:bCs/>
                <w:kern w:val="0"/>
                <w:sz w:val="17"/>
                <w:szCs w:val="17"/>
              </w:rPr>
              <w:t>:</w:t>
            </w:r>
            <w:r w:rsidRPr="00E85B67">
              <w:rPr>
                <w:rFonts w:ascii="宋体" w:eastAsia="宋体" w:hAnsi="宋体" w:cs="宋体"/>
                <w:kern w:val="0"/>
                <w:sz w:val="17"/>
                <w:szCs w:val="17"/>
              </w:rPr>
              <w:t> 新闻中心   </w:t>
            </w:r>
            <w:r w:rsidRPr="00E85B67">
              <w:rPr>
                <w:rFonts w:ascii="Tahoma" w:eastAsia="宋体" w:hAnsi="Tahoma" w:cs="Tahoma"/>
                <w:b/>
                <w:bCs/>
                <w:kern w:val="0"/>
                <w:sz w:val="17"/>
                <w:szCs w:val="17"/>
              </w:rPr>
              <w:t>浏览次数</w:t>
            </w:r>
            <w:r w:rsidRPr="00E85B67">
              <w:rPr>
                <w:rFonts w:ascii="Tahoma" w:eastAsia="宋体" w:hAnsi="Tahoma" w:cs="Tahoma"/>
                <w:b/>
                <w:bCs/>
                <w:kern w:val="0"/>
                <w:sz w:val="17"/>
                <w:szCs w:val="17"/>
              </w:rPr>
              <w:t>:</w:t>
            </w:r>
            <w:r w:rsidRPr="00E85B67">
              <w:rPr>
                <w:rFonts w:ascii="宋体" w:eastAsia="宋体" w:hAnsi="宋体" w:cs="宋体"/>
                <w:kern w:val="0"/>
                <w:sz w:val="17"/>
                <w:szCs w:val="17"/>
              </w:rPr>
              <w:t> </w:t>
            </w:r>
            <w:r w:rsidRPr="00E85B67">
              <w:rPr>
                <w:rFonts w:ascii="Tahoma" w:eastAsia="宋体" w:hAnsi="Tahoma" w:cs="Tahoma"/>
                <w:kern w:val="0"/>
                <w:sz w:val="17"/>
                <w:szCs w:val="17"/>
              </w:rPr>
              <w:t>867</w:t>
            </w:r>
            <w:r w:rsidRPr="00E85B67">
              <w:rPr>
                <w:rFonts w:ascii="宋体" w:eastAsia="宋体" w:hAnsi="宋体" w:cs="宋体"/>
                <w:kern w:val="0"/>
                <w:sz w:val="17"/>
                <w:szCs w:val="17"/>
              </w:rPr>
              <w:t xml:space="preserve">   </w:t>
            </w:r>
            <w:hyperlink r:id="rId6" w:history="1">
              <w:r w:rsidRPr="00E85B67">
                <w:rPr>
                  <w:rFonts w:ascii="Tahoma" w:eastAsia="宋体" w:hAnsi="Tahoma" w:cs="Tahoma"/>
                  <w:color w:val="003366"/>
                  <w:kern w:val="0"/>
                  <w:sz w:val="17"/>
                  <w:szCs w:val="17"/>
                  <w:u w:val="single"/>
                  <w:bdr w:val="none" w:sz="0" w:space="0" w:color="auto" w:frame="1"/>
                </w:rPr>
                <w:t>返回</w:t>
              </w:r>
            </w:hyperlink>
          </w:p>
        </w:tc>
      </w:tr>
      <w:tr w:rsidR="00E85B67" w:rsidRPr="00E85B67" w:rsidTr="00E85B67">
        <w:trPr>
          <w:tblCellSpacing w:w="15" w:type="dxa"/>
          <w:jc w:val="center"/>
        </w:trPr>
        <w:tc>
          <w:tcPr>
            <w:tcW w:w="0" w:type="auto"/>
            <w:vAlign w:val="center"/>
            <w:hideMark/>
          </w:tcPr>
          <w:p w:rsidR="00E85B67" w:rsidRPr="00E85B67" w:rsidRDefault="00E85B67" w:rsidP="00E85B67">
            <w:pPr>
              <w:widowControl/>
              <w:jc w:val="left"/>
              <w:rPr>
                <w:rFonts w:ascii="宋体" w:eastAsia="宋体" w:hAnsi="宋体" w:cs="宋体"/>
                <w:kern w:val="0"/>
                <w:sz w:val="17"/>
                <w:szCs w:val="17"/>
              </w:rPr>
            </w:pPr>
            <w:r w:rsidRPr="00E85B67">
              <w:rPr>
                <w:rFonts w:ascii="宋体" w:eastAsia="宋体" w:hAnsi="宋体" w:cs="宋体"/>
                <w:kern w:val="0"/>
                <w:sz w:val="17"/>
                <w:szCs w:val="17"/>
              </w:rPr>
              <w:pict>
                <v:rect id="_x0000_i1026" style="width:0;height:1pt" o:hrstd="t" o:hrnoshade="t" o:hr="t" fillcolor="#696969" stroked="f"/>
              </w:pict>
            </w:r>
          </w:p>
        </w:tc>
      </w:tr>
    </w:tbl>
    <w:p w:rsidR="00E85B67" w:rsidRPr="00E85B67" w:rsidRDefault="00E85B67" w:rsidP="00E85B67">
      <w:pPr>
        <w:widowControl/>
        <w:jc w:val="left"/>
        <w:rPr>
          <w:rFonts w:ascii="Tahoma" w:eastAsia="宋体" w:hAnsi="Tahoma" w:cs="Tahoma"/>
          <w:vanish/>
          <w:kern w:val="0"/>
          <w:sz w:val="17"/>
          <w:szCs w:val="17"/>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8306"/>
      </w:tblGrid>
      <w:tr w:rsidR="00E85B67" w:rsidRPr="00E85B67" w:rsidTr="00E85B67">
        <w:trPr>
          <w:tblCellSpacing w:w="12" w:type="dxa"/>
        </w:trPr>
        <w:tc>
          <w:tcPr>
            <w:tcW w:w="0" w:type="auto"/>
            <w:vAlign w:val="center"/>
            <w:hideMark/>
          </w:tcPr>
          <w:p w:rsidR="00E85B67" w:rsidRPr="00E85B67" w:rsidRDefault="00E85B67" w:rsidP="00E85B67">
            <w:pPr>
              <w:widowControl/>
              <w:jc w:val="left"/>
              <w:rPr>
                <w:rFonts w:ascii="Tahoma" w:eastAsia="宋体" w:hAnsi="Tahoma" w:cs="Tahoma"/>
                <w:kern w:val="0"/>
                <w:sz w:val="17"/>
                <w:szCs w:val="17"/>
              </w:rPr>
            </w:pPr>
          </w:p>
        </w:tc>
      </w:tr>
      <w:tr w:rsidR="00E85B67" w:rsidRPr="00E85B67" w:rsidTr="00E85B67">
        <w:trPr>
          <w:trHeight w:val="3168"/>
          <w:tblCellSpacing w:w="12" w:type="dxa"/>
        </w:trPr>
        <w:tc>
          <w:tcPr>
            <w:tcW w:w="0" w:type="auto"/>
            <w:hideMark/>
          </w:tcPr>
          <w:p w:rsidR="00E85B67" w:rsidRPr="00E85B67" w:rsidRDefault="00E85B67" w:rsidP="00E85B67">
            <w:pPr>
              <w:widowControl/>
              <w:jc w:val="left"/>
              <w:rPr>
                <w:rFonts w:ascii="宋体" w:eastAsia="宋体" w:hAnsi="宋体" w:cs="宋体"/>
                <w:kern w:val="0"/>
                <w:sz w:val="17"/>
                <w:szCs w:val="17"/>
              </w:rPr>
            </w:pPr>
          </w:p>
          <w:p w:rsidR="00E85B67" w:rsidRPr="00E85B67" w:rsidRDefault="00E85B67" w:rsidP="00E85B67">
            <w:pPr>
              <w:widowControl/>
              <w:spacing w:after="240"/>
              <w:jc w:val="left"/>
              <w:rPr>
                <w:rFonts w:ascii="Tahoma" w:eastAsia="宋体" w:hAnsi="Tahoma" w:cs="Tahoma"/>
                <w:kern w:val="0"/>
                <w:sz w:val="17"/>
                <w:szCs w:val="17"/>
              </w:rPr>
            </w:pPr>
            <w:r w:rsidRPr="00E85B67">
              <w:rPr>
                <w:rFonts w:ascii="Tahoma" w:eastAsia="宋体" w:hAnsi="Tahoma" w:cs="Tahoma"/>
                <w:kern w:val="0"/>
                <w:sz w:val="17"/>
                <w:szCs w:val="17"/>
              </w:rPr>
              <w:t>     10</w:t>
            </w:r>
            <w:r w:rsidRPr="00E85B67">
              <w:rPr>
                <w:rFonts w:ascii="Tahoma" w:eastAsia="宋体" w:hAnsi="Tahoma" w:cs="Tahoma"/>
                <w:kern w:val="0"/>
                <w:sz w:val="17"/>
                <w:szCs w:val="17"/>
              </w:rPr>
              <w:t>月</w:t>
            </w:r>
            <w:r w:rsidRPr="00E85B67">
              <w:rPr>
                <w:rFonts w:ascii="Tahoma" w:eastAsia="宋体" w:hAnsi="Tahoma" w:cs="Tahoma"/>
                <w:kern w:val="0"/>
                <w:sz w:val="17"/>
                <w:szCs w:val="17"/>
              </w:rPr>
              <w:t>23</w:t>
            </w:r>
            <w:r w:rsidRPr="00E85B67">
              <w:rPr>
                <w:rFonts w:ascii="Tahoma" w:eastAsia="宋体" w:hAnsi="Tahoma" w:cs="Tahoma"/>
                <w:kern w:val="0"/>
                <w:sz w:val="17"/>
                <w:szCs w:val="17"/>
              </w:rPr>
              <w:t>日上午，学校召开双月座谈会，就</w:t>
            </w:r>
            <w:r w:rsidRPr="00E85B67">
              <w:rPr>
                <w:rFonts w:ascii="Tahoma" w:eastAsia="宋体" w:hAnsi="Tahoma" w:cs="Tahoma"/>
                <w:kern w:val="0"/>
                <w:sz w:val="17"/>
                <w:szCs w:val="17"/>
              </w:rPr>
              <w:t xml:space="preserve"> “</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发展规划听取党外代表人士意见。校党委书记滕建勇，副书记杨卫武，副校长刘晓敏，各民主党派和统战团体负责人、无党派人士、各级人大代表和政协委员、各党派团体成员代表以及统战部等</w:t>
            </w:r>
            <w:r w:rsidRPr="00E85B67">
              <w:rPr>
                <w:rFonts w:ascii="Tahoma" w:eastAsia="宋体" w:hAnsi="Tahoma" w:cs="Tahoma"/>
                <w:kern w:val="0"/>
                <w:sz w:val="17"/>
                <w:szCs w:val="17"/>
              </w:rPr>
              <w:t>30</w:t>
            </w:r>
            <w:r w:rsidRPr="00E85B67">
              <w:rPr>
                <w:rFonts w:ascii="Tahoma" w:eastAsia="宋体" w:hAnsi="Tahoma" w:cs="Tahoma"/>
                <w:kern w:val="0"/>
                <w:sz w:val="17"/>
                <w:szCs w:val="17"/>
              </w:rPr>
              <w:t>多人参加座谈。</w:t>
            </w:r>
          </w:p>
          <w:p w:rsidR="00E85B67" w:rsidRPr="00E85B67" w:rsidRDefault="00E85B67" w:rsidP="00E85B67">
            <w:pPr>
              <w:widowControl/>
              <w:jc w:val="center"/>
              <w:rPr>
                <w:rFonts w:ascii="宋体" w:eastAsia="宋体" w:hAnsi="宋体" w:cs="宋体"/>
                <w:kern w:val="0"/>
                <w:sz w:val="24"/>
                <w:szCs w:val="24"/>
              </w:rPr>
            </w:pPr>
            <w:r w:rsidRPr="00E85B67">
              <w:rPr>
                <w:rFonts w:ascii="Tahoma" w:eastAsia="宋体" w:hAnsi="Tahoma" w:cs="Tahoma"/>
                <w:noProof/>
                <w:kern w:val="0"/>
                <w:sz w:val="17"/>
                <w:szCs w:val="17"/>
              </w:rPr>
              <w:drawing>
                <wp:inline distT="0" distB="0" distL="0" distR="0">
                  <wp:extent cx="5240020" cy="3153410"/>
                  <wp:effectExtent l="0" t="0" r="0" b="8890"/>
                  <wp:docPr id="1" name="图片 1" descr="http://www.shnu.edu.cn/Portals/31/x15102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hnu.edu.cn/Portals/31/x151026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0020" cy="3153410"/>
                          </a:xfrm>
                          <a:prstGeom prst="rect">
                            <a:avLst/>
                          </a:prstGeom>
                          <a:noFill/>
                          <a:ln>
                            <a:noFill/>
                          </a:ln>
                        </pic:spPr>
                      </pic:pic>
                    </a:graphicData>
                  </a:graphic>
                </wp:inline>
              </w:drawing>
            </w:r>
          </w:p>
          <w:p w:rsidR="00E85B67" w:rsidRPr="00E85B67" w:rsidRDefault="00E85B67" w:rsidP="00E85B67">
            <w:pPr>
              <w:widowControl/>
              <w:jc w:val="left"/>
              <w:rPr>
                <w:rFonts w:ascii="Tahoma" w:eastAsia="宋体" w:hAnsi="Tahoma" w:cs="Tahoma"/>
                <w:kern w:val="0"/>
                <w:sz w:val="17"/>
                <w:szCs w:val="17"/>
              </w:rPr>
            </w:pPr>
            <w:r w:rsidRPr="00E85B67">
              <w:rPr>
                <w:rFonts w:ascii="Tahoma" w:eastAsia="宋体" w:hAnsi="Tahoma" w:cs="Tahoma"/>
                <w:kern w:val="0"/>
                <w:sz w:val="15"/>
                <w:szCs w:val="15"/>
              </w:rPr>
              <w:t>     </w:t>
            </w:r>
            <w:r w:rsidRPr="00E85B67">
              <w:rPr>
                <w:rFonts w:ascii="Tahoma" w:eastAsia="宋体" w:hAnsi="Tahoma" w:cs="Tahoma"/>
                <w:kern w:val="0"/>
                <w:sz w:val="15"/>
                <w:szCs w:val="15"/>
              </w:rPr>
              <w:br/>
            </w:r>
            <w:r w:rsidRPr="00E85B67">
              <w:rPr>
                <w:rFonts w:ascii="Tahoma" w:eastAsia="宋体" w:hAnsi="Tahoma" w:cs="Tahoma"/>
                <w:kern w:val="0"/>
                <w:sz w:val="17"/>
                <w:szCs w:val="17"/>
              </w:rPr>
              <w:t xml:space="preserve">    </w:t>
            </w:r>
            <w:r w:rsidRPr="00E85B67">
              <w:rPr>
                <w:rFonts w:ascii="Tahoma" w:eastAsia="宋体" w:hAnsi="Tahoma" w:cs="Tahoma"/>
                <w:kern w:val="0"/>
                <w:sz w:val="17"/>
                <w:szCs w:val="17"/>
              </w:rPr>
              <w:t>滕建勇就学校</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规划中的学校发展目标和定位、学科布局优化及学校人才队伍建设等核心问题与在座的统战人士作了交流。他指出，教育综合改革方案和</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发展规划是学校今年制定的两项重大工作方案。未来五年的建设既是学校的机遇期也是挑战期，我们要准确把握发展方向和发展规律，抓住机遇，全体教职员工要同舟共济，齐心协力为把学校建设成国内外有影响的，教师教育特色鲜明的高水平的综合性大学，进入国内同类大学一流行列而努力奋斗。</w:t>
            </w:r>
            <w:r w:rsidRPr="00E85B67">
              <w:rPr>
                <w:rFonts w:ascii="Tahoma" w:eastAsia="宋体" w:hAnsi="Tahoma" w:cs="Tahoma"/>
                <w:kern w:val="0"/>
                <w:sz w:val="17"/>
                <w:szCs w:val="17"/>
              </w:rPr>
              <w:br/>
            </w:r>
            <w:r w:rsidRPr="00E85B67">
              <w:rPr>
                <w:rFonts w:ascii="Tahoma" w:eastAsia="宋体" w:hAnsi="Tahoma" w:cs="Tahoma"/>
                <w:kern w:val="0"/>
                <w:sz w:val="17"/>
                <w:szCs w:val="17"/>
              </w:rPr>
              <w:br/>
            </w:r>
            <w:r w:rsidRPr="00E85B67">
              <w:rPr>
                <w:rFonts w:ascii="Tahoma" w:eastAsia="宋体" w:hAnsi="Tahoma" w:cs="Tahoma"/>
                <w:kern w:val="0"/>
                <w:sz w:val="15"/>
                <w:szCs w:val="15"/>
              </w:rPr>
              <w:t>     </w:t>
            </w:r>
            <w:r w:rsidRPr="00E85B67">
              <w:rPr>
                <w:rFonts w:ascii="Tahoma" w:eastAsia="宋体" w:hAnsi="Tahoma" w:cs="Tahoma"/>
                <w:kern w:val="0"/>
                <w:sz w:val="17"/>
                <w:szCs w:val="17"/>
              </w:rPr>
              <w:t>杨卫武指出，我校党外代表人士为学校发展提出了许多中肯的意见和切实的建议，学校将会在听取意见的基础上，进一步完善</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规划，使规划更加符合教育发展规律和师生发展需求，科学有效地指导学校未来五年各项事业的发展。</w:t>
            </w:r>
            <w:r w:rsidRPr="00E85B67">
              <w:rPr>
                <w:rFonts w:ascii="Tahoma" w:eastAsia="宋体" w:hAnsi="Tahoma" w:cs="Tahoma"/>
                <w:kern w:val="0"/>
                <w:sz w:val="17"/>
                <w:szCs w:val="17"/>
              </w:rPr>
              <w:br/>
            </w:r>
            <w:r w:rsidRPr="00E85B67">
              <w:rPr>
                <w:rFonts w:ascii="Tahoma" w:eastAsia="宋体" w:hAnsi="Tahoma" w:cs="Tahoma"/>
                <w:kern w:val="0"/>
                <w:sz w:val="17"/>
                <w:szCs w:val="17"/>
              </w:rPr>
              <w:br/>
            </w:r>
            <w:r w:rsidRPr="00E85B67">
              <w:rPr>
                <w:rFonts w:ascii="Tahoma" w:eastAsia="宋体" w:hAnsi="Tahoma" w:cs="Tahoma"/>
                <w:kern w:val="0"/>
                <w:sz w:val="15"/>
                <w:szCs w:val="15"/>
              </w:rPr>
              <w:t>     </w:t>
            </w:r>
            <w:r w:rsidRPr="00E85B67">
              <w:rPr>
                <w:rFonts w:ascii="Tahoma" w:eastAsia="宋体" w:hAnsi="Tahoma" w:cs="Tahoma"/>
                <w:kern w:val="0"/>
                <w:sz w:val="17"/>
                <w:szCs w:val="17"/>
              </w:rPr>
              <w:t>副校长刘晓敏介绍了学校</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规划编制工作，对</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规划制订的基本原则、基本内容作了详细说明。</w:t>
            </w:r>
            <w:r w:rsidRPr="00E85B67">
              <w:rPr>
                <w:rFonts w:ascii="Tahoma" w:eastAsia="宋体" w:hAnsi="Tahoma" w:cs="Tahoma"/>
                <w:kern w:val="0"/>
                <w:sz w:val="17"/>
                <w:szCs w:val="17"/>
              </w:rPr>
              <w:br/>
            </w:r>
            <w:r w:rsidRPr="00E85B67">
              <w:rPr>
                <w:rFonts w:ascii="Tahoma" w:eastAsia="宋体" w:hAnsi="Tahoma" w:cs="Tahoma"/>
                <w:kern w:val="0"/>
                <w:sz w:val="17"/>
                <w:szCs w:val="17"/>
              </w:rPr>
              <w:br/>
            </w:r>
            <w:r w:rsidRPr="00E85B67">
              <w:rPr>
                <w:rFonts w:ascii="Tahoma" w:eastAsia="宋体" w:hAnsi="Tahoma" w:cs="Tahoma"/>
                <w:kern w:val="0"/>
                <w:sz w:val="15"/>
                <w:szCs w:val="15"/>
              </w:rPr>
              <w:t>     </w:t>
            </w:r>
            <w:r w:rsidRPr="00E85B67">
              <w:rPr>
                <w:rFonts w:ascii="Tahoma" w:eastAsia="宋体" w:hAnsi="Tahoma" w:cs="Tahoma"/>
                <w:kern w:val="0"/>
                <w:sz w:val="17"/>
                <w:szCs w:val="17"/>
              </w:rPr>
              <w:t>党外代表人士围绕学校</w:t>
            </w:r>
            <w:r w:rsidRPr="00E85B67">
              <w:rPr>
                <w:rFonts w:ascii="Tahoma" w:eastAsia="宋体" w:hAnsi="Tahoma" w:cs="Tahoma"/>
                <w:kern w:val="0"/>
                <w:sz w:val="17"/>
                <w:szCs w:val="17"/>
              </w:rPr>
              <w:t>“</w:t>
            </w:r>
            <w:r w:rsidRPr="00E85B67">
              <w:rPr>
                <w:rFonts w:ascii="Tahoma" w:eastAsia="宋体" w:hAnsi="Tahoma" w:cs="Tahoma"/>
                <w:kern w:val="0"/>
                <w:sz w:val="17"/>
                <w:szCs w:val="17"/>
              </w:rPr>
              <w:t>十三五</w:t>
            </w:r>
            <w:r w:rsidRPr="00E85B67">
              <w:rPr>
                <w:rFonts w:ascii="Tahoma" w:eastAsia="宋体" w:hAnsi="Tahoma" w:cs="Tahoma"/>
                <w:kern w:val="0"/>
                <w:sz w:val="17"/>
                <w:szCs w:val="17"/>
              </w:rPr>
              <w:t>”</w:t>
            </w:r>
            <w:r w:rsidRPr="00E85B67">
              <w:rPr>
                <w:rFonts w:ascii="Tahoma" w:eastAsia="宋体" w:hAnsi="Tahoma" w:cs="Tahoma"/>
                <w:kern w:val="0"/>
                <w:sz w:val="17"/>
                <w:szCs w:val="17"/>
              </w:rPr>
              <w:t>规划，对学科建设、教学、资源配置、人才队伍建设、校园环境、校院两级管理体制等问题畅所欲言，提出了许多建设性的意见和建议。</w:t>
            </w:r>
            <w:r w:rsidRPr="00E85B67">
              <w:rPr>
                <w:rFonts w:ascii="Tahoma" w:eastAsia="宋体" w:hAnsi="Tahoma" w:cs="Tahoma"/>
                <w:kern w:val="0"/>
                <w:sz w:val="17"/>
                <w:szCs w:val="17"/>
              </w:rPr>
              <w:t xml:space="preserve"> </w:t>
            </w:r>
          </w:p>
          <w:p w:rsidR="00E85B67" w:rsidRPr="00E85B67" w:rsidRDefault="00E85B67" w:rsidP="00E85B67">
            <w:pPr>
              <w:widowControl/>
              <w:jc w:val="right"/>
              <w:rPr>
                <w:rFonts w:ascii="宋体" w:eastAsia="宋体" w:hAnsi="宋体" w:cs="宋体"/>
                <w:kern w:val="0"/>
                <w:sz w:val="24"/>
                <w:szCs w:val="24"/>
              </w:rPr>
            </w:pPr>
            <w:r w:rsidRPr="00E85B67">
              <w:rPr>
                <w:rFonts w:ascii="Tahoma" w:eastAsia="宋体" w:hAnsi="Tahoma" w:cs="Tahoma"/>
                <w:kern w:val="0"/>
                <w:sz w:val="17"/>
                <w:szCs w:val="17"/>
              </w:rPr>
              <w:lastRenderedPageBreak/>
              <w:br/>
            </w:r>
            <w:r w:rsidRPr="00E85B67">
              <w:rPr>
                <w:rFonts w:ascii="Tahoma" w:eastAsia="宋体" w:hAnsi="Tahoma" w:cs="Tahoma"/>
                <w:kern w:val="0"/>
                <w:sz w:val="17"/>
                <w:szCs w:val="17"/>
              </w:rPr>
              <w:t>（供稿、摄影：统战部）</w:t>
            </w:r>
          </w:p>
        </w:tc>
      </w:tr>
    </w:tbl>
    <w:p w:rsidR="00FA7420" w:rsidRPr="00E85B67" w:rsidRDefault="003D623C">
      <w:bookmarkStart w:id="0" w:name="_GoBack"/>
      <w:bookmarkEnd w:id="0"/>
    </w:p>
    <w:sectPr w:rsidR="00FA7420" w:rsidRPr="00E85B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3C" w:rsidRDefault="003D623C" w:rsidP="00E85B67">
      <w:r>
        <w:separator/>
      </w:r>
    </w:p>
  </w:endnote>
  <w:endnote w:type="continuationSeparator" w:id="0">
    <w:p w:rsidR="003D623C" w:rsidRDefault="003D623C" w:rsidP="00E8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3C" w:rsidRDefault="003D623C" w:rsidP="00E85B67">
      <w:r>
        <w:separator/>
      </w:r>
    </w:p>
  </w:footnote>
  <w:footnote w:type="continuationSeparator" w:id="0">
    <w:p w:rsidR="003D623C" w:rsidRDefault="003D623C" w:rsidP="00E85B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56"/>
    <w:rsid w:val="002F3788"/>
    <w:rsid w:val="003D623C"/>
    <w:rsid w:val="00435756"/>
    <w:rsid w:val="00D4737F"/>
    <w:rsid w:val="00E8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21FC9A-7C73-41C6-B42E-98B17DA4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5B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5B67"/>
    <w:rPr>
      <w:sz w:val="18"/>
      <w:szCs w:val="18"/>
    </w:rPr>
  </w:style>
  <w:style w:type="paragraph" w:styleId="a4">
    <w:name w:val="footer"/>
    <w:basedOn w:val="a"/>
    <w:link w:val="Char0"/>
    <w:uiPriority w:val="99"/>
    <w:unhideWhenUsed/>
    <w:rsid w:val="00E85B67"/>
    <w:pPr>
      <w:tabs>
        <w:tab w:val="center" w:pos="4153"/>
        <w:tab w:val="right" w:pos="8306"/>
      </w:tabs>
      <w:snapToGrid w:val="0"/>
      <w:jc w:val="left"/>
    </w:pPr>
    <w:rPr>
      <w:sz w:val="18"/>
      <w:szCs w:val="18"/>
    </w:rPr>
  </w:style>
  <w:style w:type="character" w:customStyle="1" w:styleId="Char0">
    <w:name w:val="页脚 Char"/>
    <w:basedOn w:val="a0"/>
    <w:link w:val="a4"/>
    <w:uiPriority w:val="99"/>
    <w:rsid w:val="00E85B67"/>
    <w:rPr>
      <w:sz w:val="18"/>
      <w:szCs w:val="18"/>
    </w:rPr>
  </w:style>
  <w:style w:type="character" w:styleId="a5">
    <w:name w:val="Hyperlink"/>
    <w:basedOn w:val="a0"/>
    <w:uiPriority w:val="99"/>
    <w:semiHidden/>
    <w:unhideWhenUsed/>
    <w:rsid w:val="00E85B67"/>
    <w:rPr>
      <w:strike w:val="0"/>
      <w:dstrike w:val="0"/>
      <w:color w:val="003366"/>
      <w:sz w:val="17"/>
      <w:szCs w:val="17"/>
      <w:u w:val="none"/>
      <w:effect w:val="none"/>
    </w:rPr>
  </w:style>
  <w:style w:type="character" w:customStyle="1" w:styleId="head2">
    <w:name w:val="head2"/>
    <w:basedOn w:val="a0"/>
    <w:rsid w:val="00E85B67"/>
    <w:rPr>
      <w:rFonts w:ascii="Tahoma" w:hAnsi="Tahoma" w:cs="Tahoma" w:hint="default"/>
      <w:b w:val="0"/>
      <w:bCs w:val="0"/>
      <w:color w:val="333333"/>
      <w:sz w:val="30"/>
      <w:szCs w:val="30"/>
    </w:rPr>
  </w:style>
  <w:style w:type="character" w:customStyle="1" w:styleId="normalbold1">
    <w:name w:val="normalbold1"/>
    <w:basedOn w:val="a0"/>
    <w:rsid w:val="00E85B67"/>
    <w:rPr>
      <w:rFonts w:ascii="Tahoma" w:hAnsi="Tahoma" w:cs="Tahoma" w:hint="default"/>
      <w:b/>
      <w:bCs/>
      <w:sz w:val="17"/>
      <w:szCs w:val="17"/>
    </w:rPr>
  </w:style>
  <w:style w:type="character" w:customStyle="1" w:styleId="normal1">
    <w:name w:val="normal1"/>
    <w:basedOn w:val="a0"/>
    <w:rsid w:val="00E85B67"/>
    <w:rPr>
      <w:rFonts w:ascii="Tahoma" w:hAnsi="Tahoma" w:cs="Tahoma" w:hint="default"/>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870374">
      <w:bodyDiv w:val="1"/>
      <w:marLeft w:val="0"/>
      <w:marRight w:val="0"/>
      <w:marTop w:val="0"/>
      <w:marBottom w:val="0"/>
      <w:divBdr>
        <w:top w:val="none" w:sz="0" w:space="0" w:color="auto"/>
        <w:left w:val="none" w:sz="0" w:space="0" w:color="auto"/>
        <w:bottom w:val="none" w:sz="0" w:space="0" w:color="auto"/>
        <w:right w:val="none" w:sz="0" w:space="0" w:color="auto"/>
      </w:divBdr>
      <w:divsChild>
        <w:div w:id="1140227262">
          <w:marLeft w:val="0"/>
          <w:marRight w:val="0"/>
          <w:marTop w:val="0"/>
          <w:marBottom w:val="0"/>
          <w:divBdr>
            <w:top w:val="none" w:sz="0" w:space="0" w:color="auto"/>
            <w:left w:val="none" w:sz="0" w:space="0" w:color="auto"/>
            <w:bottom w:val="none" w:sz="0" w:space="0" w:color="auto"/>
            <w:right w:val="none" w:sz="0" w:space="0" w:color="auto"/>
          </w:divBdr>
          <w:divsChild>
            <w:div w:id="2100712569">
              <w:marLeft w:val="0"/>
              <w:marRight w:val="0"/>
              <w:marTop w:val="0"/>
              <w:marBottom w:val="0"/>
              <w:divBdr>
                <w:top w:val="none" w:sz="0" w:space="0" w:color="auto"/>
                <w:left w:val="none" w:sz="0" w:space="0" w:color="auto"/>
                <w:bottom w:val="none" w:sz="0" w:space="0" w:color="auto"/>
                <w:right w:val="none" w:sz="0" w:space="0" w:color="auto"/>
              </w:divBdr>
              <w:divsChild>
                <w:div w:id="2024236296">
                  <w:marLeft w:val="0"/>
                  <w:marRight w:val="0"/>
                  <w:marTop w:val="0"/>
                  <w:marBottom w:val="0"/>
                  <w:divBdr>
                    <w:top w:val="none" w:sz="0" w:space="0" w:color="auto"/>
                    <w:left w:val="none" w:sz="0" w:space="0" w:color="auto"/>
                    <w:bottom w:val="none" w:sz="0" w:space="0" w:color="auto"/>
                    <w:right w:val="none" w:sz="0" w:space="0" w:color="auto"/>
                  </w:divBdr>
                  <w:divsChild>
                    <w:div w:id="20417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PostBack('dnn$ctr3438$ArticleDetails$ctl00$cmdRetur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张君昊</dc:creator>
  <cp:keywords/>
  <dc:description/>
  <cp:lastModifiedBy>张君昊</cp:lastModifiedBy>
  <cp:revision>2</cp:revision>
  <dcterms:created xsi:type="dcterms:W3CDTF">2015-12-08T12:19:00Z</dcterms:created>
  <dcterms:modified xsi:type="dcterms:W3CDTF">2015-12-08T12:19:00Z</dcterms:modified>
</cp:coreProperties>
</file>